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70c0"/>
          <w:sz w:val="36"/>
          <w:szCs w:val="36"/>
          <w:rtl w:val="0"/>
        </w:rPr>
        <w:t xml:space="preserve">Comunicat de presă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0070c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70c0"/>
          <w:sz w:val="36"/>
          <w:szCs w:val="36"/>
          <w:rtl w:val="0"/>
        </w:rPr>
        <w:t xml:space="preserve">“PNRR: Fonduri pentru România modernă și reformată”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Şcoala Gimnazială Hinova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din județul Mehedinți este beneficiar al unui proiect în cadrul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Programulului Național pentru Reducerea Abandonului Școlar (PNRAS)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– runda 1, cu finanțare din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Planul Național pentru Redresare și Reziliență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aferent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Reformei 3. Reforma sistemului de învățământ obligatoriu pentru prevenirea și reducerea părăsirii timpurii a școli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din cadrul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Componentei C.15 Educație din PNRR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Titlul proiectului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DIDASKALOS – reducerea abandonului școlar în Școala Gimnazială Hinova - Mehedinți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Valoare totală proiect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: 395.549 lei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Perioada de implementare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: 23.09.2022-23.09.2025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Obiectivele proiectului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Digitalizarea procesului educațional și dotarea cu mobilier, resurse educaționale, cărți a spațiilor unității școlare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Dezvoltarea unui climat pozitiv și incluziv prin participarea la activități non-formale, extrașcolare și extracurriculare și de formare continuă a tuturor cadrelor didactice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Îmbunătățirea rezultatelor obținute de elevi în cadrul evaluărilor naționale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Creșterea a ratei de tranziție de la învățământul secundar inferior la învățământul secundar superior</w:t>
      </w:r>
    </w:p>
    <w:tbl>
      <w:tblPr>
        <w:tblStyle w:val="Table1"/>
        <w:tblW w:w="913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9139"/>
        <w:tblGridChange w:id="0">
          <w:tblGrid>
            <w:gridCol w:w="9139"/>
          </w:tblGrid>
        </w:tblGridChange>
      </w:tblGrid>
      <w:tr>
        <w:trPr>
          <w:cantSplit w:val="0"/>
          <w:trHeight w:val="367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Date de contact: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Şcoala Gimnazială Hinova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Judeșul Mehedinți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Telefon/fax: 0252-354338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Email: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8"/>
                  <w:szCs w:val="28"/>
                  <w:u w:val="single"/>
                  <w:rtl w:val="0"/>
                </w:rPr>
                <w:t xml:space="preserve">scoala_hinova@yahoo.ro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Website: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8"/>
                  <w:szCs w:val="28"/>
                  <w:u w:val="single"/>
                  <w:rtl w:val="0"/>
                </w:rPr>
                <w:t xml:space="preserve">www.scoalahinova.ro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91440" distT="91440" distL="114300" distR="114300" hidden="0" layoutInCell="1" locked="0" relativeHeight="0" simplePos="0">
                      <wp:simplePos x="0" y="0"/>
                      <wp:positionH relativeFrom="column">
                        <wp:posOffset>-900429</wp:posOffset>
                      </wp:positionH>
                      <wp:positionV relativeFrom="paragraph">
                        <wp:posOffset>489585</wp:posOffset>
                      </wp:positionV>
                      <wp:extent cx="6105525" cy="1403985"/>
                      <wp:effectExtent b="0" l="0" r="0" t="0"/>
                      <wp:wrapTopAndBottom distB="91440" distT="91440"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6F9" w:rsidDel="00000000" w:rsidP="00E316F9" w:rsidRDefault="00E316F9" w:rsidRPr="00000000" w14:paraId="3100ED9A" w14:textId="7AA8266C">
                                  <w:pPr>
                                    <w:pBdr>
                                      <w:top w:color="4f81bd" w:space="8" w:sz="24" w:themeColor="accent1" w:val="single"/>
                                      <w:bottom w:color="4f81bd" w:space="8" w:sz="24" w:themeColor="accent1" w:val="single"/>
                                    </w:pBdr>
                                    <w:jc w:val="center"/>
                                    <w:rPr>
                                      <w:i w:val="1"/>
                                      <w:iCs w:val="1"/>
                                      <w:color w:val="4f81bd" w:themeColor="accent1"/>
                                    </w:rPr>
                                  </w:pPr>
                                  <w:r w:rsidDel="00000000" w:rsidR="00000000" w:rsidRPr="00000000">
                                    <w:rPr>
                                      <w:i w:val="1"/>
                                      <w:iCs w:val="1"/>
                                      <w:color w:val="4f81bd" w:themeColor="accent1"/>
                                    </w:rPr>
                                    <w:t>Conținutul acestui material nu reprezintă în mod obligatoriu poziția oficială a Uniunii Europene sau a Guvernului României</w:t>
                                  </w:r>
                                </w:p>
                              </w:txbxContent>
                            </wps:txbx>
                            <wps:bodyPr anchorCtr="0" anchor="t" bIns="45720" lIns="91440" rIns="91440" rot="0" vert="horz" wrap="square" t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91440" distT="91440" distL="114300" distR="114300" hidden="0" layoutInCell="1" locked="0" relativeHeight="0" simplePos="0">
                      <wp:simplePos x="0" y="0"/>
                      <wp:positionH relativeFrom="column">
                        <wp:posOffset>-900429</wp:posOffset>
                      </wp:positionH>
                      <wp:positionV relativeFrom="paragraph">
                        <wp:posOffset>489585</wp:posOffset>
                      </wp:positionV>
                      <wp:extent cx="6105525" cy="1403985"/>
                      <wp:effectExtent b="0" l="0" r="0" t="0"/>
                      <wp:wrapTopAndBottom distB="91440" distT="9144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5525" cy="1403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PNRR. Finanțat de Uniunea Europeană - UrmătoareaGenerațieUE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https://mfe.gov.ro/pnrr/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https://www.facebook.com/PNRROficial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even"/>
      <w:pgSz w:h="16840" w:w="11907" w:orient="portrait"/>
      <w:pgMar w:bottom="539" w:top="992" w:left="1418" w:right="1435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76" w:lineRule="auto"/>
      <w:ind w:hanging="709"/>
      <w:jc w:val="right"/>
      <w:rPr>
        <w:b w:val="1"/>
        <w:i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000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i w:val="1"/>
      </w:rPr>
      <w:drawing>
        <wp:inline distB="114300" distT="114300" distL="114300" distR="114300">
          <wp:extent cx="5731200" cy="6223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b="0" l="0" r="0" t="0"/>
          <wp:wrapNone/>
          <wp:docPr descr="parti_din_sigla_ppir" id="4" name="image1.png"/>
          <a:graphic>
            <a:graphicData uri="http://schemas.openxmlformats.org/drawingml/2006/picture">
              <pic:pic>
                <pic:nvPicPr>
                  <pic:cNvPr descr="parti_din_sigla_ppi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2303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pict>
        <v:shape id="WordPictureWatermark2" style="position:absolute;width:675.0pt;height:254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4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b="0" l="0" r="0" t="0"/>
          <wp:wrapNone/>
          <wp:docPr descr="parti_din_sigla_ppir" id="2" name="image1.png"/>
          <a:graphic>
            <a:graphicData uri="http://schemas.openxmlformats.org/drawingml/2006/picture">
              <pic:pic>
                <pic:nvPicPr>
                  <pic:cNvPr descr="parti_din_sigla_ppi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23031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pict>
        <v:shape id="WordPictureWatermark1" style="position:absolute;width:675.0pt;height:254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2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facebook.com/PNRROficial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fe.gov.ro/pnrr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coala_hinova@yahoo.com" TargetMode="External"/><Relationship Id="rId7" Type="http://schemas.openxmlformats.org/officeDocument/2006/relationships/hyperlink" Target="http://www.scoalahinova.ro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